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98" w:rsidRDefault="00630183" w:rsidP="00B71AA9">
      <w:pPr>
        <w:jc w:val="center"/>
        <w:rPr>
          <w:rFonts w:ascii="Arial" w:hAnsi="Arial" w:cs="Arial"/>
          <w:b/>
          <w:lang w:val="en-US"/>
        </w:rPr>
      </w:pPr>
      <w:r w:rsidRPr="00627817">
        <w:rPr>
          <w:rFonts w:ascii="Arial" w:hAnsi="Arial" w:cs="Arial"/>
          <w:b/>
          <w:lang w:val="en-US"/>
        </w:rPr>
        <w:t>Proposing an example for the                                                                                                                                                         Study on the Public Financing of Popular Adult Learning and Education (ALE)</w:t>
      </w:r>
    </w:p>
    <w:p w:rsidR="00AD6C9F" w:rsidRPr="00627817" w:rsidRDefault="00AD6C9F" w:rsidP="00B71AA9">
      <w:pPr>
        <w:jc w:val="center"/>
        <w:rPr>
          <w:rFonts w:ascii="Arial" w:hAnsi="Arial" w:cs="Arial"/>
          <w:b/>
          <w:lang w:val="en-US"/>
        </w:rPr>
      </w:pPr>
    </w:p>
    <w:p w:rsidR="00630183" w:rsidRPr="00627817" w:rsidRDefault="00920B02" w:rsidP="0072014F">
      <w:pPr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DVV International and the Team of Experts are inviting colleagues and partners to submit proposals which can be considered for the c</w:t>
      </w:r>
      <w:r w:rsidR="00630183" w:rsidRPr="00627817">
        <w:rPr>
          <w:rFonts w:ascii="Arial" w:hAnsi="Arial" w:cs="Arial"/>
          <w:lang w:val="en-US"/>
        </w:rPr>
        <w:t>ollection of edited</w:t>
      </w:r>
      <w:r w:rsidRPr="00627817">
        <w:rPr>
          <w:rFonts w:ascii="Arial" w:hAnsi="Arial" w:cs="Arial"/>
          <w:lang w:val="en-US"/>
        </w:rPr>
        <w:t xml:space="preserve"> articles </w:t>
      </w:r>
      <w:r w:rsidR="00630183" w:rsidRPr="00627817">
        <w:rPr>
          <w:rFonts w:ascii="Arial" w:hAnsi="Arial" w:cs="Arial"/>
          <w:lang w:val="en-US"/>
        </w:rPr>
        <w:t xml:space="preserve">on various international </w:t>
      </w:r>
      <w:r w:rsidR="00671474" w:rsidRPr="00627817">
        <w:rPr>
          <w:rFonts w:ascii="Arial" w:hAnsi="Arial" w:cs="Arial"/>
          <w:lang w:val="en-US"/>
        </w:rPr>
        <w:t xml:space="preserve">good practice </w:t>
      </w:r>
      <w:r w:rsidR="00630183" w:rsidRPr="00627817">
        <w:rPr>
          <w:rFonts w:ascii="Arial" w:hAnsi="Arial" w:cs="Arial"/>
          <w:lang w:val="en-US"/>
        </w:rPr>
        <w:t>examples of financing popular (community, liberal) education from public sources.</w:t>
      </w:r>
    </w:p>
    <w:p w:rsidR="0072014F" w:rsidRPr="00627817" w:rsidRDefault="0072014F" w:rsidP="0072014F">
      <w:pPr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 xml:space="preserve">To understand popular ALE better we quote from the UNESCO Recommendation on Adult Learning and Education (RALE):  </w:t>
      </w:r>
    </w:p>
    <w:p w:rsidR="00630183" w:rsidRPr="00627817" w:rsidRDefault="0072014F" w:rsidP="0072014F">
      <w:pPr>
        <w:jc w:val="both"/>
        <w:rPr>
          <w:rFonts w:ascii="Arial" w:hAnsi="Arial" w:cs="Arial"/>
          <w:i/>
          <w:lang w:val="en-US"/>
        </w:rPr>
      </w:pPr>
      <w:r w:rsidRPr="00627817">
        <w:rPr>
          <w:rFonts w:ascii="Arial" w:hAnsi="Arial" w:cs="Arial"/>
          <w:i/>
          <w:lang w:val="en-US"/>
        </w:rPr>
        <w:t>“</w:t>
      </w:r>
      <w:r w:rsidR="00630183" w:rsidRPr="00627817">
        <w:rPr>
          <w:rFonts w:ascii="Arial" w:hAnsi="Arial" w:cs="Arial"/>
          <w:i/>
          <w:lang w:val="en-US"/>
        </w:rPr>
        <w:t xml:space="preserve">Adult learning and education also </w:t>
      </w:r>
      <w:proofErr w:type="gramStart"/>
      <w:r w:rsidR="00630183" w:rsidRPr="00627817">
        <w:rPr>
          <w:rFonts w:ascii="Arial" w:hAnsi="Arial" w:cs="Arial"/>
          <w:i/>
          <w:lang w:val="en-US"/>
        </w:rPr>
        <w:t>includes</w:t>
      </w:r>
      <w:proofErr w:type="gramEnd"/>
      <w:r w:rsidR="00630183" w:rsidRPr="00627817">
        <w:rPr>
          <w:rFonts w:ascii="Arial" w:hAnsi="Arial" w:cs="Arial"/>
          <w:i/>
          <w:lang w:val="en-US"/>
        </w:rPr>
        <w:t xml:space="preserve"> education</w:t>
      </w:r>
      <w:r w:rsidR="00920B02" w:rsidRPr="00627817">
        <w:rPr>
          <w:rFonts w:ascii="Arial" w:hAnsi="Arial" w:cs="Arial"/>
          <w:i/>
          <w:lang w:val="en-US"/>
        </w:rPr>
        <w:t xml:space="preserve"> and learning opportunities for </w:t>
      </w:r>
      <w:r w:rsidR="00630183" w:rsidRPr="00627817">
        <w:rPr>
          <w:rFonts w:ascii="Arial" w:hAnsi="Arial" w:cs="Arial"/>
          <w:i/>
          <w:lang w:val="en-US"/>
        </w:rPr>
        <w:t>active citizenship, variously known as community, p</w:t>
      </w:r>
      <w:r w:rsidR="00920B02" w:rsidRPr="00627817">
        <w:rPr>
          <w:rFonts w:ascii="Arial" w:hAnsi="Arial" w:cs="Arial"/>
          <w:i/>
          <w:lang w:val="en-US"/>
        </w:rPr>
        <w:t xml:space="preserve">opular or liberal education. It empowers </w:t>
      </w:r>
      <w:r w:rsidR="00630183" w:rsidRPr="00627817">
        <w:rPr>
          <w:rFonts w:ascii="Arial" w:hAnsi="Arial" w:cs="Arial"/>
          <w:i/>
          <w:lang w:val="en-US"/>
        </w:rPr>
        <w:t>people to actively engage with social issues such as pov</w:t>
      </w:r>
      <w:r w:rsidR="00920B02" w:rsidRPr="00627817">
        <w:rPr>
          <w:rFonts w:ascii="Arial" w:hAnsi="Arial" w:cs="Arial"/>
          <w:i/>
          <w:lang w:val="en-US"/>
        </w:rPr>
        <w:t xml:space="preserve">erty, gender, intergenerational </w:t>
      </w:r>
      <w:r w:rsidR="00630183" w:rsidRPr="00627817">
        <w:rPr>
          <w:rFonts w:ascii="Arial" w:hAnsi="Arial" w:cs="Arial"/>
          <w:i/>
          <w:lang w:val="en-US"/>
        </w:rPr>
        <w:t xml:space="preserve">solidarity, social mobility, justice, equity, exclusion, violence, unemployment, </w:t>
      </w:r>
      <w:r w:rsidR="00920B02" w:rsidRPr="00627817">
        <w:rPr>
          <w:rFonts w:ascii="Arial" w:hAnsi="Arial" w:cs="Arial"/>
          <w:i/>
          <w:lang w:val="en-US"/>
        </w:rPr>
        <w:t xml:space="preserve">environmental </w:t>
      </w:r>
      <w:r w:rsidR="00630183" w:rsidRPr="00627817">
        <w:rPr>
          <w:rFonts w:ascii="Arial" w:hAnsi="Arial" w:cs="Arial"/>
          <w:i/>
          <w:lang w:val="en-US"/>
        </w:rPr>
        <w:t xml:space="preserve">protection and climate change. It also helps people to lead a </w:t>
      </w:r>
      <w:r w:rsidR="00920B02" w:rsidRPr="00627817">
        <w:rPr>
          <w:rFonts w:ascii="Arial" w:hAnsi="Arial" w:cs="Arial"/>
          <w:i/>
          <w:lang w:val="en-US"/>
        </w:rPr>
        <w:t xml:space="preserve">decent life, in terms of health </w:t>
      </w:r>
      <w:r w:rsidR="00630183" w:rsidRPr="00627817">
        <w:rPr>
          <w:rFonts w:ascii="Arial" w:hAnsi="Arial" w:cs="Arial"/>
          <w:i/>
          <w:lang w:val="en-US"/>
        </w:rPr>
        <w:t>and well-being, culture, spirituality and in all other w</w:t>
      </w:r>
      <w:r w:rsidR="00920B02" w:rsidRPr="00627817">
        <w:rPr>
          <w:rFonts w:ascii="Arial" w:hAnsi="Arial" w:cs="Arial"/>
          <w:i/>
          <w:lang w:val="en-US"/>
        </w:rPr>
        <w:t xml:space="preserve">ays that contribute to personal </w:t>
      </w:r>
      <w:r w:rsidR="00630183" w:rsidRPr="00627817">
        <w:rPr>
          <w:rFonts w:ascii="Arial" w:hAnsi="Arial" w:cs="Arial"/>
          <w:i/>
          <w:lang w:val="en-US"/>
        </w:rPr>
        <w:t>development and dignity.</w:t>
      </w:r>
      <w:r w:rsidRPr="00627817">
        <w:rPr>
          <w:rFonts w:ascii="Arial" w:hAnsi="Arial" w:cs="Arial"/>
          <w:i/>
          <w:lang w:val="en-US"/>
        </w:rPr>
        <w:t>”</w:t>
      </w:r>
    </w:p>
    <w:p w:rsidR="00F9328D" w:rsidRPr="00627817" w:rsidRDefault="00F9328D" w:rsidP="003635DA">
      <w:pPr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Please</w:t>
      </w:r>
      <w:r w:rsidR="0090674D" w:rsidRPr="00627817">
        <w:rPr>
          <w:rFonts w:ascii="Arial" w:hAnsi="Arial" w:cs="Arial"/>
          <w:lang w:val="en-US"/>
        </w:rPr>
        <w:t xml:space="preserve"> provide us information by</w:t>
      </w:r>
      <w:r w:rsidRPr="00627817">
        <w:rPr>
          <w:rFonts w:ascii="Arial" w:hAnsi="Arial" w:cs="Arial"/>
          <w:lang w:val="en-US"/>
        </w:rPr>
        <w:t xml:space="preserve"> send</w:t>
      </w:r>
      <w:r w:rsidR="0090674D" w:rsidRPr="00627817">
        <w:rPr>
          <w:rFonts w:ascii="Arial" w:hAnsi="Arial" w:cs="Arial"/>
          <w:lang w:val="en-US"/>
        </w:rPr>
        <w:t xml:space="preserve">ing </w:t>
      </w:r>
      <w:r w:rsidR="003F5AAE" w:rsidRPr="00627817">
        <w:rPr>
          <w:rFonts w:ascii="Arial" w:hAnsi="Arial" w:cs="Arial"/>
          <w:lang w:val="en-US"/>
        </w:rPr>
        <w:t xml:space="preserve">one </w:t>
      </w:r>
      <w:r w:rsidR="00165B02">
        <w:rPr>
          <w:rFonts w:ascii="Arial" w:hAnsi="Arial" w:cs="Arial"/>
          <w:lang w:val="en-US"/>
        </w:rPr>
        <w:t xml:space="preserve">or two </w:t>
      </w:r>
      <w:r w:rsidR="003F5AAE" w:rsidRPr="00627817">
        <w:rPr>
          <w:rFonts w:ascii="Arial" w:hAnsi="Arial" w:cs="Arial"/>
          <w:lang w:val="en-US"/>
        </w:rPr>
        <w:t>page</w:t>
      </w:r>
      <w:r w:rsidR="00E6232E">
        <w:rPr>
          <w:rFonts w:ascii="Arial" w:hAnsi="Arial" w:cs="Arial"/>
          <w:lang w:val="en-US"/>
        </w:rPr>
        <w:t>s</w:t>
      </w:r>
      <w:r w:rsidR="00671474" w:rsidRPr="00627817">
        <w:rPr>
          <w:rFonts w:ascii="Arial" w:hAnsi="Arial" w:cs="Arial"/>
          <w:lang w:val="en-US"/>
        </w:rPr>
        <w:t xml:space="preserve"> (key points are sufficient)</w:t>
      </w:r>
      <w:r w:rsidR="003F5AAE" w:rsidRPr="00627817">
        <w:rPr>
          <w:rFonts w:ascii="Arial" w:hAnsi="Arial" w:cs="Arial"/>
          <w:lang w:val="en-US"/>
        </w:rPr>
        <w:t xml:space="preserve"> which we could take into the discussion and selection of good </w:t>
      </w:r>
      <w:r w:rsidR="0090674D" w:rsidRPr="00627817">
        <w:rPr>
          <w:rFonts w:ascii="Arial" w:hAnsi="Arial" w:cs="Arial"/>
          <w:lang w:val="en-US"/>
        </w:rPr>
        <w:t>practice examples for the study</w:t>
      </w:r>
      <w:r w:rsidR="003635DA" w:rsidRPr="00627817">
        <w:rPr>
          <w:rFonts w:ascii="Arial" w:hAnsi="Arial" w:cs="Arial"/>
          <w:lang w:val="en-US"/>
        </w:rPr>
        <w:t>:</w:t>
      </w:r>
    </w:p>
    <w:p w:rsidR="003635DA" w:rsidRPr="00627817" w:rsidRDefault="003635DA" w:rsidP="003635DA">
      <w:pPr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Name of potential authors/s</w:t>
      </w:r>
    </w:p>
    <w:p w:rsidR="003635DA" w:rsidRPr="00627817" w:rsidRDefault="003635DA" w:rsidP="003635DA">
      <w:pPr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Name of the country / region</w:t>
      </w:r>
    </w:p>
    <w:p w:rsidR="003635DA" w:rsidRPr="00627817" w:rsidRDefault="003635DA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 xml:space="preserve">The national understanding of popular ALE </w:t>
      </w:r>
    </w:p>
    <w:p w:rsidR="00095098" w:rsidRPr="00627817" w:rsidRDefault="00095098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Institutions, content and methods of popular ALE</w:t>
      </w:r>
    </w:p>
    <w:p w:rsidR="005379C2" w:rsidRDefault="00671474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T</w:t>
      </w:r>
      <w:r w:rsidR="003635DA" w:rsidRPr="00627817">
        <w:rPr>
          <w:rFonts w:ascii="Arial" w:hAnsi="Arial" w:cs="Arial"/>
          <w:lang w:val="en-US"/>
        </w:rPr>
        <w:t>he role</w:t>
      </w:r>
      <w:r w:rsidR="005379C2" w:rsidRPr="00627817">
        <w:rPr>
          <w:rFonts w:ascii="Arial" w:hAnsi="Arial" w:cs="Arial"/>
          <w:lang w:val="en-US"/>
        </w:rPr>
        <w:t xml:space="preserve"> of the public authorities </w:t>
      </w:r>
      <w:r w:rsidRPr="00627817">
        <w:rPr>
          <w:rFonts w:ascii="Arial" w:hAnsi="Arial" w:cs="Arial"/>
          <w:lang w:val="en-US"/>
        </w:rPr>
        <w:t xml:space="preserve">in financing popular ALE </w:t>
      </w:r>
    </w:p>
    <w:p w:rsidR="00ED56B9" w:rsidRDefault="006A4A5F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 xml:space="preserve">Governments budgets and allocations from different sorts of public institutions in respect to ALE on national, regional or local level </w:t>
      </w:r>
    </w:p>
    <w:p w:rsidR="006A4A5F" w:rsidRPr="00627817" w:rsidRDefault="00ED56B9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bookmarkStart w:id="0" w:name="_GoBack"/>
      <w:bookmarkEnd w:id="0"/>
      <w:r w:rsidR="006A4A5F" w:rsidRPr="00627817">
        <w:rPr>
          <w:rFonts w:ascii="Arial" w:hAnsi="Arial" w:cs="Arial"/>
          <w:lang w:val="en-US"/>
        </w:rPr>
        <w:t>inancing mechanisms that are available and being use</w:t>
      </w:r>
      <w:r w:rsidR="00457897">
        <w:rPr>
          <w:rFonts w:ascii="Arial" w:hAnsi="Arial" w:cs="Arial"/>
          <w:lang w:val="en-US"/>
        </w:rPr>
        <w:t>d</w:t>
      </w:r>
    </w:p>
    <w:p w:rsidR="003635DA" w:rsidRPr="00627817" w:rsidRDefault="005379C2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 xml:space="preserve">Public </w:t>
      </w:r>
      <w:r w:rsidR="006568A8" w:rsidRPr="00627817">
        <w:rPr>
          <w:rFonts w:ascii="Arial" w:hAnsi="Arial" w:cs="Arial"/>
          <w:lang w:val="en-US"/>
        </w:rPr>
        <w:t>infrastructure and resources in addition to</w:t>
      </w:r>
      <w:r w:rsidR="0090674D" w:rsidRPr="00627817">
        <w:rPr>
          <w:rFonts w:ascii="Arial" w:hAnsi="Arial" w:cs="Arial"/>
          <w:lang w:val="en-US"/>
        </w:rPr>
        <w:t xml:space="preserve"> financial support</w:t>
      </w:r>
    </w:p>
    <w:p w:rsidR="003635DA" w:rsidRPr="00627817" w:rsidRDefault="003635DA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Trends and changes in recent years and</w:t>
      </w:r>
      <w:r w:rsidR="00095098" w:rsidRPr="00627817">
        <w:rPr>
          <w:rFonts w:ascii="Arial" w:hAnsi="Arial" w:cs="Arial"/>
          <w:lang w:val="en-US"/>
        </w:rPr>
        <w:t xml:space="preserve"> </w:t>
      </w:r>
      <w:r w:rsidR="00671474" w:rsidRPr="00627817">
        <w:rPr>
          <w:rFonts w:ascii="Arial" w:hAnsi="Arial" w:cs="Arial"/>
          <w:lang w:val="en-US"/>
        </w:rPr>
        <w:t>/</w:t>
      </w:r>
      <w:r w:rsidR="00095098" w:rsidRPr="00627817">
        <w:rPr>
          <w:rFonts w:ascii="Arial" w:hAnsi="Arial" w:cs="Arial"/>
          <w:lang w:val="en-US"/>
        </w:rPr>
        <w:t xml:space="preserve"> </w:t>
      </w:r>
      <w:r w:rsidR="00671474" w:rsidRPr="00627817">
        <w:rPr>
          <w:rFonts w:ascii="Arial" w:hAnsi="Arial" w:cs="Arial"/>
          <w:lang w:val="en-US"/>
        </w:rPr>
        <w:t>or</w:t>
      </w:r>
      <w:r w:rsidRPr="00627817">
        <w:rPr>
          <w:rFonts w:ascii="Arial" w:hAnsi="Arial" w:cs="Arial"/>
          <w:lang w:val="en-US"/>
        </w:rPr>
        <w:t xml:space="preserve"> decades </w:t>
      </w:r>
    </w:p>
    <w:p w:rsidR="0090674D" w:rsidRPr="00627817" w:rsidRDefault="0090674D" w:rsidP="00B71AA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 xml:space="preserve">Appraisal of popular ALE – </w:t>
      </w:r>
      <w:r w:rsidR="00B71AA9" w:rsidRPr="00627817">
        <w:rPr>
          <w:rFonts w:ascii="Arial" w:hAnsi="Arial" w:cs="Arial"/>
          <w:lang w:val="en-US"/>
        </w:rPr>
        <w:t xml:space="preserve">what kind of monitoring, indicators and measures do public authorities use? How do you judge these and their effects (including sustainability and social impact)? </w:t>
      </w:r>
    </w:p>
    <w:p w:rsidR="00095098" w:rsidRPr="00627817" w:rsidRDefault="00095098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What makes the case a good practice example in your opinion?</w:t>
      </w:r>
    </w:p>
    <w:p w:rsidR="0090674D" w:rsidRPr="00627817" w:rsidRDefault="005379C2" w:rsidP="0009509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627817">
        <w:rPr>
          <w:rFonts w:ascii="Arial" w:hAnsi="Arial" w:cs="Arial"/>
          <w:lang w:val="en-US"/>
        </w:rPr>
        <w:t>Any other important point you would like us to consider?</w:t>
      </w:r>
    </w:p>
    <w:p w:rsidR="00E6232E" w:rsidRPr="00627817" w:rsidRDefault="00E6232E">
      <w:pPr>
        <w:jc w:val="both"/>
        <w:rPr>
          <w:rFonts w:ascii="Arial" w:hAnsi="Arial" w:cs="Arial"/>
          <w:lang w:val="en-US"/>
        </w:rPr>
      </w:pPr>
    </w:p>
    <w:sectPr w:rsidR="00E6232E" w:rsidRPr="00627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75A"/>
    <w:multiLevelType w:val="hybridMultilevel"/>
    <w:tmpl w:val="2C4E163E"/>
    <w:lvl w:ilvl="0" w:tplc="B8287A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CA1"/>
    <w:multiLevelType w:val="hybridMultilevel"/>
    <w:tmpl w:val="A608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3"/>
    <w:rsid w:val="00095098"/>
    <w:rsid w:val="00155307"/>
    <w:rsid w:val="00165B02"/>
    <w:rsid w:val="003635DA"/>
    <w:rsid w:val="003F5AAE"/>
    <w:rsid w:val="00457897"/>
    <w:rsid w:val="005379C2"/>
    <w:rsid w:val="005B1894"/>
    <w:rsid w:val="00627817"/>
    <w:rsid w:val="00630183"/>
    <w:rsid w:val="006568A8"/>
    <w:rsid w:val="00671474"/>
    <w:rsid w:val="006A4A5F"/>
    <w:rsid w:val="0072014F"/>
    <w:rsid w:val="00807FA2"/>
    <w:rsid w:val="0090674D"/>
    <w:rsid w:val="00920B02"/>
    <w:rsid w:val="00926CA7"/>
    <w:rsid w:val="00AD6C9F"/>
    <w:rsid w:val="00B71AA9"/>
    <w:rsid w:val="00C251B1"/>
    <w:rsid w:val="00E6232E"/>
    <w:rsid w:val="00ED56B9"/>
    <w:rsid w:val="00F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ACF9"/>
  <w15:docId w15:val="{4B0C7CA1-43C3-4A2F-A0BE-FAFE631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Hinzen</dc:creator>
  <cp:lastModifiedBy>User</cp:lastModifiedBy>
  <cp:revision>4</cp:revision>
  <dcterms:created xsi:type="dcterms:W3CDTF">2020-09-11T04:31:00Z</dcterms:created>
  <dcterms:modified xsi:type="dcterms:W3CDTF">2020-09-11T10:56:00Z</dcterms:modified>
</cp:coreProperties>
</file>